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324A08">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2015</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B93281" w:rsidRPr="00B93281" w:rsidRDefault="0034337E">
                  <w:pPr>
                    <w:pStyle w:val="NoSpacing"/>
                    <w:rPr>
                      <w:sz w:val="64"/>
                      <w:szCs w:val="64"/>
                    </w:rPr>
                  </w:pPr>
                  <w:proofErr w:type="spellStart"/>
                  <w:r>
                    <w:rPr>
                      <w:sz w:val="64"/>
                      <w:szCs w:val="64"/>
                    </w:rPr>
                    <w:t>Utilising</w:t>
                  </w:r>
                  <w:proofErr w:type="spellEnd"/>
                  <w:r>
                    <w:rPr>
                      <w:sz w:val="64"/>
                      <w:szCs w:val="64"/>
                    </w:rPr>
                    <w:t xml:space="preserve"> Auditors to Mitigate Board Risk</w:t>
                  </w:r>
                </w:p>
                <w:p w:rsidR="00696AB3" w:rsidRPr="00696AB3" w:rsidRDefault="0034337E">
                  <w:pPr>
                    <w:pStyle w:val="NoSpacing"/>
                    <w:rPr>
                      <w:color w:val="FFFFFF"/>
                      <w:sz w:val="40"/>
                      <w:szCs w:val="40"/>
                    </w:rPr>
                  </w:pPr>
                  <w:r>
                    <w:rPr>
                      <w:sz w:val="40"/>
                      <w:szCs w:val="40"/>
                    </w:rPr>
                    <w:t>2</w:t>
                  </w:r>
                  <w:r w:rsidR="00B93281">
                    <w:rPr>
                      <w:sz w:val="40"/>
                      <w:szCs w:val="40"/>
                    </w:rPr>
                    <w:t>7</w:t>
                  </w:r>
                  <w:r w:rsidR="00FB169B">
                    <w:rPr>
                      <w:sz w:val="40"/>
                      <w:szCs w:val="40"/>
                    </w:rPr>
                    <w:t xml:space="preserve"> </w:t>
                  </w:r>
                  <w:r w:rsidR="00B93281">
                    <w:rPr>
                      <w:sz w:val="40"/>
                      <w:szCs w:val="40"/>
                    </w:rPr>
                    <w:t>Nov</w:t>
                  </w:r>
                  <w:r w:rsidR="00FB169B">
                    <w:rPr>
                      <w:sz w:val="40"/>
                      <w:szCs w:val="40"/>
                    </w:rPr>
                    <w:t xml:space="preserve"> / </w:t>
                  </w:r>
                  <w:r>
                    <w:rPr>
                      <w:sz w:val="40"/>
                      <w:szCs w:val="40"/>
                    </w:rPr>
                    <w:t>09</w:t>
                  </w:r>
                  <w:r w:rsidR="00FB169B">
                    <w:rPr>
                      <w:sz w:val="40"/>
                      <w:szCs w:val="40"/>
                    </w:rPr>
                    <w:t xml:space="preserve"> </w:t>
                  </w:r>
                  <w:r w:rsidR="00B93281">
                    <w:rPr>
                      <w:sz w:val="40"/>
                      <w:szCs w:val="40"/>
                    </w:rPr>
                    <w:t>Dec</w:t>
                  </w:r>
                </w:p>
                <w:p w:rsidR="00696AB3" w:rsidRPr="00696AB3" w:rsidRDefault="00696AB3">
                  <w:pPr>
                    <w:pStyle w:val="NoSpacing"/>
                    <w:rPr>
                      <w:color w:val="FFFFFF"/>
                    </w:rPr>
                  </w:pPr>
                </w:p>
                <w:p w:rsidR="00696AB3" w:rsidRPr="00696AB3" w:rsidRDefault="0034337E" w:rsidP="0034337E">
                  <w:pPr>
                    <w:pStyle w:val="NoSpacing"/>
                    <w:rPr>
                      <w:color w:val="FFFFFF"/>
                    </w:rPr>
                  </w:pPr>
                  <w:r w:rsidRPr="0034337E">
                    <w:t>Boards through the audit committees liaise substantially with the external auditors. In addition, internal auditors report to the audit committee functionally. Together, they form two of the cornerstones of corporate governance. Much assurance can be gotten from these auditors if we know how to leverage on them. Regulators expect board to use these audit resources effectively in the discharge of their challenging obligations in relation to financial reporting, risks, controls and governance.</w:t>
                  </w:r>
                </w:p>
              </w:txbxContent>
            </v:textbox>
          </v:rect>
        </w:pict>
      </w:r>
    </w:p>
    <w:p w:rsidR="00696AB3" w:rsidRDefault="00696AB3"/>
    <w:p w:rsidR="00D35263" w:rsidRDefault="00324A08">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34337E">
      <w:r w:rsidRPr="00324A08">
        <w:rPr>
          <w:rFonts w:asciiTheme="minorHAnsi" w:hAnsiTheme="minorHAnsi"/>
          <w:noProof/>
          <w:lang w:val="en-US"/>
        </w:rPr>
        <w:lastRenderedPageBreak/>
        <w:pict>
          <v:roundrect id="_x0000_s1048" style="position:absolute;margin-left:253.4pt;margin-top:8.65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r w:rsidR="00324A08" w:rsidRPr="00324A08">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3F6F40" w:rsidRPr="00B26841" w:rsidRDefault="0034337E" w:rsidP="0034337E">
      <w:pPr>
        <w:jc w:val="both"/>
        <w:rPr>
          <w:rFonts w:asciiTheme="minorHAnsi" w:hAnsiTheme="minorHAnsi"/>
        </w:rPr>
      </w:pPr>
      <w:r w:rsidRPr="0034337E">
        <w:rPr>
          <w:rFonts w:asciiTheme="minorHAnsi" w:hAnsiTheme="minorHAnsi"/>
          <w:sz w:val="20"/>
        </w:rPr>
        <w:t>Boards through the audit committees liaise substantially with the external auditors. In addition, internal auditors report to the audit committee functionally. Together, they form two of the cornerstones of corporate governance. Much assurance can be gotten from these auditors if we know how to leverage on them. Regulators expect board to use these audit resources effectively in the discharge of their challenging obligations in relation to financial reporting, risks, controls and governance.</w:t>
      </w:r>
    </w:p>
    <w:p w:rsidR="003F6F40" w:rsidRDefault="0034337E" w:rsidP="003F6F40">
      <w:pPr>
        <w:rPr>
          <w:rFonts w:asciiTheme="minorHAnsi" w:hAnsiTheme="minorHAnsi"/>
        </w:rPr>
      </w:pPr>
      <w:r>
        <w:rPr>
          <w:rFonts w:asciiTheme="minorHAnsi" w:hAnsiTheme="minorHAnsi"/>
          <w:noProof/>
          <w:lang w:val="en-US"/>
        </w:rPr>
        <w:pict>
          <v:roundrect id="_x0000_s1049" style="position:absolute;margin-left:-6.8pt;margin-top:8.4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4337E" w:rsidRDefault="0034337E" w:rsidP="003F6F40">
      <w:pPr>
        <w:rPr>
          <w:rFonts w:asciiTheme="minorHAnsi" w:hAnsiTheme="minorHAnsi"/>
        </w:rPr>
      </w:pPr>
    </w:p>
    <w:p w:rsidR="0034337E" w:rsidRDefault="0034337E" w:rsidP="003F6F40">
      <w:pPr>
        <w:rPr>
          <w:rFonts w:asciiTheme="minorHAnsi" w:hAnsiTheme="minorHAnsi"/>
        </w:rPr>
      </w:pP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 xml:space="preserve">to understand the Listing Requirements in relation to internal and external audit especially from the perspective of the recently released CG Guide 2013 by Bursa Malaysia, </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to understand the role, scope and resources of internal audit, and</w:t>
      </w:r>
    </w:p>
    <w:p w:rsidR="00B26841" w:rsidRPr="0034337E" w:rsidRDefault="0034337E" w:rsidP="0034337E">
      <w:pPr>
        <w:pStyle w:val="ListParagraph"/>
        <w:numPr>
          <w:ilvl w:val="0"/>
          <w:numId w:val="11"/>
        </w:numPr>
        <w:spacing w:after="0" w:line="240" w:lineRule="auto"/>
        <w:ind w:left="284" w:hanging="284"/>
        <w:rPr>
          <w:rFonts w:asciiTheme="minorHAnsi" w:hAnsiTheme="minorHAnsi"/>
        </w:rPr>
      </w:pPr>
      <w:proofErr w:type="gramStart"/>
      <w:r w:rsidRPr="0034337E">
        <w:rPr>
          <w:rFonts w:asciiTheme="minorHAnsi" w:hAnsiTheme="minorHAnsi"/>
        </w:rPr>
        <w:t>to</w:t>
      </w:r>
      <w:proofErr w:type="gramEnd"/>
      <w:r w:rsidRPr="0034337E">
        <w:rPr>
          <w:rFonts w:asciiTheme="minorHAnsi" w:hAnsiTheme="minorHAnsi"/>
        </w:rPr>
        <w:t xml:space="preserve"> understand the audit committee's obligations in relation to internal audit.</w:t>
      </w:r>
    </w:p>
    <w:p w:rsidR="0034337E" w:rsidRDefault="0034337E" w:rsidP="003F6F40">
      <w:pPr>
        <w:rPr>
          <w:rFonts w:asciiTheme="minorHAnsi" w:hAnsiTheme="minorHAnsi"/>
        </w:rPr>
      </w:pPr>
      <w:r w:rsidRPr="00324A08">
        <w:rPr>
          <w:rFonts w:asciiTheme="minorHAnsi" w:hAnsiTheme="minorHAnsi"/>
          <w:noProof/>
          <w:sz w:val="20"/>
        </w:rPr>
        <w:pict>
          <v:roundrect id="_x0000_s1127" style="position:absolute;margin-left:-6.8pt;margin-top:11.2pt;width:150.55pt;height:23.4pt;z-index:-251574272" arcsize="10923f">
            <v:shadow on="t" offset="3pt" offset2="2pt"/>
            <v:textbox style="mso-next-textbox:#_x0000_s1127">
              <w:txbxContent>
                <w:p w:rsidR="00B93281" w:rsidRPr="00B93281" w:rsidRDefault="0034337E" w:rsidP="00B93281">
                  <w:pPr>
                    <w:rPr>
                      <w:rFonts w:asciiTheme="minorHAnsi" w:hAnsiTheme="minorHAnsi"/>
                    </w:rPr>
                  </w:pPr>
                  <w:r>
                    <w:rPr>
                      <w:rFonts w:asciiTheme="minorHAnsi" w:hAnsiTheme="minorHAnsi"/>
                    </w:rPr>
                    <w:t>COURSE COVERAGE</w:t>
                  </w:r>
                </w:p>
              </w:txbxContent>
            </v:textbox>
          </v:roundrect>
        </w:pict>
      </w:r>
    </w:p>
    <w:p w:rsidR="0034337E" w:rsidRDefault="0034337E" w:rsidP="003F6F40">
      <w:pPr>
        <w:rPr>
          <w:rFonts w:asciiTheme="minorHAnsi" w:hAnsiTheme="minorHAnsi"/>
        </w:rPr>
      </w:pPr>
    </w:p>
    <w:p w:rsidR="0034337E" w:rsidRDefault="0034337E" w:rsidP="003F6F40">
      <w:pPr>
        <w:rPr>
          <w:rFonts w:asciiTheme="minorHAnsi" w:hAnsiTheme="minorHAnsi"/>
        </w:rPr>
      </w:pP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Internal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Roles, scope and resources of internal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Independence of internal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Evaluation of internal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External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Roles, scope and resources of external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Audit committee and external audit</w:t>
      </w:r>
    </w:p>
    <w:p w:rsidR="0034337E" w:rsidRPr="0034337E" w:rsidRDefault="0034337E" w:rsidP="0034337E">
      <w:pPr>
        <w:pStyle w:val="ListParagraph"/>
        <w:numPr>
          <w:ilvl w:val="0"/>
          <w:numId w:val="11"/>
        </w:numPr>
        <w:spacing w:after="0" w:line="240" w:lineRule="auto"/>
        <w:ind w:left="284" w:hanging="284"/>
        <w:rPr>
          <w:rFonts w:asciiTheme="minorHAnsi" w:hAnsiTheme="minorHAnsi"/>
        </w:rPr>
      </w:pPr>
      <w:r w:rsidRPr="0034337E">
        <w:rPr>
          <w:rFonts w:asciiTheme="minorHAnsi" w:hAnsiTheme="minorHAnsi"/>
        </w:rPr>
        <w:t>On-going communication with the external auditor</w:t>
      </w:r>
    </w:p>
    <w:p w:rsidR="00B93281" w:rsidRDefault="00B93281" w:rsidP="003F6F40">
      <w:pPr>
        <w:rPr>
          <w:rFonts w:asciiTheme="minorHAnsi" w:hAnsiTheme="minorHAnsi"/>
        </w:rPr>
      </w:pPr>
    </w:p>
    <w:p w:rsidR="005075DC" w:rsidRDefault="005075DC" w:rsidP="005075DC">
      <w:pPr>
        <w:rPr>
          <w:rFonts w:asciiTheme="minorHAnsi" w:hAnsiTheme="minorHAnsi"/>
          <w:sz w:val="20"/>
        </w:rPr>
      </w:pPr>
    </w:p>
    <w:p w:rsidR="0034337E" w:rsidRDefault="0034337E" w:rsidP="005075DC">
      <w:pPr>
        <w:rPr>
          <w:rFonts w:asciiTheme="minorHAnsi" w:hAnsiTheme="minorHAnsi"/>
          <w:sz w:val="20"/>
        </w:rPr>
      </w:pPr>
    </w:p>
    <w:p w:rsidR="005075DC" w:rsidRPr="005075DC" w:rsidRDefault="005075DC" w:rsidP="005075DC">
      <w:pPr>
        <w:rPr>
          <w:rFonts w:asciiTheme="minorHAnsi" w:hAnsiTheme="minorHAnsi"/>
          <w:sz w:val="20"/>
        </w:rPr>
      </w:pPr>
    </w:p>
    <w:p w:rsidR="0034337E" w:rsidRDefault="0034337E" w:rsidP="003F6F40">
      <w:pPr>
        <w:rPr>
          <w:rFonts w:asciiTheme="minorHAnsi" w:hAnsiTheme="minorHAnsi"/>
        </w:rPr>
      </w:pPr>
    </w:p>
    <w:p w:rsidR="0034337E" w:rsidRDefault="0034337E" w:rsidP="003F6F40">
      <w:pPr>
        <w:rPr>
          <w:rFonts w:asciiTheme="minorHAnsi" w:hAnsiTheme="minorHAnsi"/>
        </w:rPr>
      </w:pPr>
    </w:p>
    <w:p w:rsidR="0034337E" w:rsidRDefault="0034337E" w:rsidP="003F6F40">
      <w:pPr>
        <w:rPr>
          <w:rFonts w:asciiTheme="minorHAnsi" w:hAnsiTheme="minorHAnsi"/>
        </w:rPr>
      </w:pPr>
    </w:p>
    <w:p w:rsidR="00BC0460" w:rsidRDefault="00BC0460" w:rsidP="003F6F40">
      <w:pPr>
        <w:rPr>
          <w:rFonts w:asciiTheme="minorHAnsi" w:hAnsiTheme="minorHAnsi"/>
        </w:rPr>
      </w:pPr>
    </w:p>
    <w:p w:rsidR="003F6F40" w:rsidRPr="00BC0460" w:rsidRDefault="00BC0460" w:rsidP="00B374FE">
      <w:pPr>
        <w:rPr>
          <w:rFonts w:asciiTheme="minorHAnsi" w:hAnsiTheme="minorHAnsi"/>
          <w:sz w:val="20"/>
        </w:rPr>
      </w:pPr>
      <w:r>
        <w:rPr>
          <w:rFonts w:asciiTheme="minorHAnsi" w:hAnsiTheme="minorHAnsi"/>
          <w:sz w:val="20"/>
        </w:rPr>
        <w:t>C</w:t>
      </w:r>
      <w:r w:rsidR="00B374FE" w:rsidRPr="00BC0460">
        <w:rPr>
          <w:rFonts w:asciiTheme="minorHAnsi" w:hAnsiTheme="minorHAnsi"/>
          <w:sz w:val="20"/>
        </w:rPr>
        <w:t>ompany Directors / Financial Controllers &amp; Finance Managers / Accountants &amp; Auditors Company</w:t>
      </w:r>
      <w:r w:rsidR="001969FF">
        <w:rPr>
          <w:rFonts w:asciiTheme="minorHAnsi" w:hAnsiTheme="minorHAnsi"/>
          <w:sz w:val="20"/>
        </w:rPr>
        <w:t xml:space="preserve"> </w:t>
      </w:r>
      <w:r w:rsidR="00B374FE" w:rsidRPr="00BC0460">
        <w:rPr>
          <w:rFonts w:asciiTheme="minorHAnsi" w:hAnsiTheme="minorHAnsi"/>
          <w:sz w:val="20"/>
        </w:rPr>
        <w:t>Secretaries / Academicians / Fund &amp; Investment</w:t>
      </w:r>
      <w:r w:rsidR="001969FF">
        <w:rPr>
          <w:rFonts w:asciiTheme="minorHAnsi" w:hAnsiTheme="minorHAnsi"/>
          <w:sz w:val="20"/>
        </w:rPr>
        <w:t xml:space="preserve"> </w:t>
      </w:r>
      <w:r w:rsidR="00B374FE" w:rsidRPr="00BC0460">
        <w:rPr>
          <w:rFonts w:asciiTheme="minorHAnsi" w:hAnsiTheme="minorHAnsi"/>
          <w:sz w:val="20"/>
        </w:rPr>
        <w:t>Managers</w:t>
      </w:r>
    </w:p>
    <w:p w:rsidR="00B374FE" w:rsidRDefault="0034337E" w:rsidP="003F6F40">
      <w:pPr>
        <w:rPr>
          <w:rFonts w:asciiTheme="minorHAnsi" w:hAnsiTheme="minorHAnsi"/>
        </w:rPr>
      </w:pPr>
      <w:r>
        <w:rPr>
          <w:rFonts w:asciiTheme="minorHAnsi" w:hAnsiTheme="minorHAnsi"/>
          <w:noProof/>
          <w:lang w:val="en-US"/>
        </w:rPr>
        <w:pict>
          <v:roundrect id="_x0000_s1050" style="position:absolute;margin-left:-4.4pt;margin-top:8.75pt;width:150.55pt;height:23.4pt;z-index:-251652096" arcsize="10923f">
            <v:shadow on="t" offset="3pt" offset2="2pt"/>
            <v:textbox>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B374FE" w:rsidRDefault="00B374FE" w:rsidP="003F6F40">
      <w:pPr>
        <w:rPr>
          <w:rFonts w:asciiTheme="minorHAnsi" w:hAnsiTheme="minorHAnsi"/>
        </w:rPr>
      </w:pPr>
    </w:p>
    <w:p w:rsidR="003F6F40" w:rsidRPr="00B26841" w:rsidRDefault="003F6F40" w:rsidP="003F6F40">
      <w:pPr>
        <w:rPr>
          <w:rFonts w:asciiTheme="minorHAnsi" w:hAnsiTheme="minorHAnsi"/>
        </w:rPr>
      </w:pPr>
    </w:p>
    <w:p w:rsidR="00B26841" w:rsidRPr="00BC0460" w:rsidRDefault="003F6F40">
      <w:pPr>
        <w:rPr>
          <w:rFonts w:asciiTheme="minorHAnsi" w:hAnsiTheme="minorHAnsi"/>
          <w:sz w:val="20"/>
        </w:rPr>
      </w:pPr>
      <w:r w:rsidRPr="00BC0460">
        <w:rPr>
          <w:rFonts w:asciiTheme="minorHAnsi" w:hAnsiTheme="minorHAnsi"/>
          <w:sz w:val="20"/>
        </w:rPr>
        <w:t>Lectures facilitated by PowerPoint presentat</w:t>
      </w:r>
      <w:r w:rsidR="00B26841" w:rsidRPr="00BC0460">
        <w:rPr>
          <w:rFonts w:asciiTheme="minorHAnsi" w:hAnsiTheme="minorHAnsi"/>
          <w:sz w:val="20"/>
        </w:rPr>
        <w:t>ion and case studies discussion</w:t>
      </w:r>
    </w:p>
    <w:p w:rsidR="00B26841" w:rsidRDefault="00324A08">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34337E" w:rsidP="0034337E">
            <w:pPr>
              <w:ind w:right="308"/>
              <w:jc w:val="both"/>
              <w:rPr>
                <w:rFonts w:asciiTheme="minorHAnsi" w:hAnsiTheme="minorHAnsi" w:cs="Segoe UI Semibold"/>
                <w:sz w:val="20"/>
              </w:rPr>
            </w:pPr>
            <w:r>
              <w:rPr>
                <w:rFonts w:asciiTheme="minorHAnsi" w:hAnsiTheme="minorHAnsi" w:cs="Segoe UI Semibold"/>
                <w:sz w:val="20"/>
              </w:rPr>
              <w:t>2</w:t>
            </w:r>
            <w:r w:rsidR="00B374FE">
              <w:rPr>
                <w:rFonts w:asciiTheme="minorHAnsi" w:hAnsiTheme="minorHAnsi" w:cs="Segoe UI Semibold"/>
                <w:sz w:val="20"/>
              </w:rPr>
              <w:t>7</w:t>
            </w:r>
            <w:r w:rsidR="00FB169B">
              <w:rPr>
                <w:rFonts w:asciiTheme="minorHAnsi" w:hAnsiTheme="minorHAnsi" w:cs="Segoe UI Semibold"/>
                <w:sz w:val="20"/>
              </w:rPr>
              <w:t xml:space="preserve"> Nov/ </w:t>
            </w:r>
            <w:r>
              <w:rPr>
                <w:rFonts w:asciiTheme="minorHAnsi" w:hAnsiTheme="minorHAnsi" w:cs="Segoe UI Semibold"/>
                <w:sz w:val="20"/>
              </w:rPr>
              <w:t>09</w:t>
            </w:r>
            <w:r w:rsidR="00FB169B">
              <w:rPr>
                <w:rFonts w:asciiTheme="minorHAnsi" w:hAnsiTheme="minorHAnsi" w:cs="Segoe UI Semibold"/>
                <w:sz w:val="20"/>
              </w:rPr>
              <w:t xml:space="preserve"> Dec</w:t>
            </w:r>
            <w:r w:rsidR="006807E9">
              <w:rPr>
                <w:rFonts w:asciiTheme="minorHAnsi" w:hAnsiTheme="minorHAnsi" w:cs="Segoe UI Semibold"/>
                <w:sz w:val="20"/>
              </w:rPr>
              <w:t xml:space="preserve"> </w:t>
            </w:r>
            <w:r w:rsidR="00D90843" w:rsidRPr="00D90843">
              <w:rPr>
                <w:rFonts w:asciiTheme="minorHAnsi" w:hAnsiTheme="minorHAnsi" w:cs="Segoe UI Semibold"/>
                <w:sz w:val="20"/>
              </w:rPr>
              <w:t>2015</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542689" w:rsidP="00D102CC">
            <w:pPr>
              <w:ind w:right="308"/>
              <w:jc w:val="both"/>
              <w:rPr>
                <w:rFonts w:asciiTheme="minorHAnsi" w:hAnsiTheme="minorHAnsi" w:cs="Segoe UI Semibold"/>
                <w:sz w:val="20"/>
              </w:rPr>
            </w:pPr>
            <w:r>
              <w:rPr>
                <w:rFonts w:asciiTheme="minorHAnsi" w:hAnsiTheme="minorHAnsi" w:cs="Segoe UI Semibold"/>
                <w:sz w:val="20"/>
              </w:rPr>
              <w:t>To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69FF">
            <w:pPr>
              <w:ind w:right="308"/>
              <w:jc w:val="both"/>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324A08">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BC0460"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Pr>
                      <w:rFonts w:ascii="Century Gothic" w:hAnsi="Century Gothic"/>
                      <w:b/>
                      <w:color w:val="FFFFFF"/>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324A08">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3.7pt;width:258.75pt;height:82.5pt;z-index:-251586560" filled="t" fillcolor="#ffb9b9">
            <v:fill opacity="29491f"/>
          </v:shape>
        </w:pict>
      </w:r>
    </w:p>
    <w:p w:rsidR="00F928D5" w:rsidRPr="00BC0460" w:rsidRDefault="003954D3" w:rsidP="006479E6">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693074" w:rsidRDefault="00693074">
      <w:pPr>
        <w:rPr>
          <w:rFonts w:asciiTheme="minorHAnsi" w:hAnsiTheme="minorHAnsi"/>
        </w:rPr>
      </w:pPr>
    </w:p>
    <w:p w:rsidR="00693074" w:rsidRPr="00B26841" w:rsidRDefault="00693074">
      <w:pPr>
        <w:rPr>
          <w:rFonts w:asciiTheme="minorHAnsi" w:hAnsiTheme="minorHAnsi"/>
        </w:rPr>
        <w:sectPr w:rsidR="00693074" w:rsidRPr="00B26841" w:rsidSect="00800675">
          <w:type w:val="continuous"/>
          <w:pgSz w:w="11906" w:h="16838" w:code="9"/>
          <w:pgMar w:top="1440" w:right="1080" w:bottom="1440" w:left="1080" w:header="0" w:footer="0" w:gutter="0"/>
          <w:cols w:num="2" w:sep="1" w:space="567"/>
          <w:titlePg/>
          <w:docGrid w:linePitch="299"/>
        </w:sectPr>
      </w:pPr>
    </w:p>
    <w:p w:rsidR="003F6F40" w:rsidRDefault="00324A08">
      <w:r w:rsidRPr="00324A08">
        <w:rPr>
          <w:rFonts w:asciiTheme="minorHAnsi" w:hAnsiTheme="minorHAnsi"/>
          <w:noProof/>
          <w:lang w:val="en-US"/>
        </w:rPr>
        <w:lastRenderedPageBreak/>
        <w:pict>
          <v:roundrect id="_x0000_s1110" style="position:absolute;margin-left:-60pt;margin-top:1.35pt;width:538.5pt;height:149.65pt;z-index:-251665410" arcsize="10923f" fillcolor="#f2f2f2 [3052]" stroked="f"/>
        </w:pict>
      </w:r>
      <w:r w:rsidRPr="00324A08">
        <w:rPr>
          <w:rFonts w:asciiTheme="minorHAnsi" w:hAnsiTheme="minorHAnsi"/>
          <w:noProof/>
          <w:lang w:val="en-US"/>
        </w:rPr>
        <w:pict>
          <v:roundrect id="_x0000_s1052" style="position:absolute;margin-left:-42.8pt;margin-top:7.25pt;width:150.55pt;height:23.4pt;z-index:-251650048" arcsize="10923f">
            <v:shadow on="t" offset="3pt" offset2="2pt"/>
            <v:textbox>
              <w:txbxContent>
                <w:p w:rsidR="00BC0460" w:rsidRDefault="00BC0460"/>
              </w:txbxContent>
            </v:textbox>
          </v:roundrect>
        </w:pict>
      </w:r>
    </w:p>
    <w:p w:rsidR="00BC0460" w:rsidRDefault="00BC0460" w:rsidP="00BC0460">
      <w:pPr>
        <w:ind w:left="-709"/>
        <w:rPr>
          <w:rFonts w:asciiTheme="minorHAnsi" w:hAnsiTheme="minorHAnsi"/>
        </w:rPr>
        <w:sectPr w:rsidR="00BC0460" w:rsidSect="00800675">
          <w:type w:val="continuous"/>
          <w:pgSz w:w="11906" w:h="16838" w:code="9"/>
          <w:pgMar w:top="806" w:right="922" w:bottom="900" w:left="1800" w:header="0" w:footer="0" w:gutter="0"/>
          <w:cols w:space="720"/>
          <w:titlePg/>
          <w:docGrid w:linePitch="299"/>
        </w:sectPr>
      </w:pPr>
      <w:r w:rsidRPr="00D90843">
        <w:rPr>
          <w:rFonts w:asciiTheme="minorHAnsi" w:hAnsiTheme="minorHAnsi"/>
        </w:rPr>
        <w:t>PRESENTER’S PROFILE</w:t>
      </w:r>
    </w:p>
    <w:p w:rsidR="00BC0460" w:rsidRDefault="00BC0460" w:rsidP="00BC0460">
      <w:pPr>
        <w:jc w:val="both"/>
        <w:rPr>
          <w:rFonts w:asciiTheme="minorHAnsi" w:hAnsiTheme="minorHAnsi"/>
          <w:sz w:val="20"/>
        </w:rPr>
        <w:sectPr w:rsidR="00BC0460" w:rsidSect="00800675">
          <w:type w:val="continuous"/>
          <w:pgSz w:w="11906" w:h="16838" w:code="9"/>
          <w:pgMar w:top="806" w:right="922" w:bottom="900" w:left="1800" w:header="0" w:footer="0" w:gutter="0"/>
          <w:cols w:num="2" w:space="284"/>
          <w:titlePg/>
          <w:docGrid w:linePitch="299"/>
        </w:sectPr>
      </w:pPr>
    </w:p>
    <w:p w:rsidR="001969FF" w:rsidRPr="001969FF" w:rsidRDefault="001969FF" w:rsidP="001969FF">
      <w:pPr>
        <w:ind w:left="-709"/>
        <w:rPr>
          <w:rFonts w:asciiTheme="minorHAnsi" w:hAnsiTheme="minorHAnsi"/>
          <w:b/>
          <w:sz w:val="20"/>
        </w:rPr>
      </w:pPr>
      <w:r w:rsidRPr="001969FF">
        <w:rPr>
          <w:rFonts w:asciiTheme="minorHAnsi" w:hAnsiTheme="minorHAnsi"/>
          <w:b/>
          <w:sz w:val="20"/>
        </w:rPr>
        <w:lastRenderedPageBreak/>
        <w:t>MR. DEVANESAN EVANSON</w:t>
      </w:r>
    </w:p>
    <w:p w:rsidR="00D90843" w:rsidRPr="00D90843" w:rsidRDefault="001969FF" w:rsidP="00542689">
      <w:pPr>
        <w:ind w:left="-709"/>
        <w:jc w:val="both"/>
        <w:rPr>
          <w:rFonts w:asciiTheme="minorHAnsi" w:hAnsiTheme="minorHAnsi"/>
        </w:rPr>
      </w:pPr>
      <w:r w:rsidRPr="001969FF">
        <w:rPr>
          <w:rFonts w:asciiTheme="minorHAnsi" w:hAnsiTheme="minorHAnsi"/>
          <w:sz w:val="20"/>
        </w:rPr>
        <w:t xml:space="preserve">Mr. </w:t>
      </w:r>
      <w:proofErr w:type="spellStart"/>
      <w:r w:rsidRPr="001969FF">
        <w:rPr>
          <w:rFonts w:asciiTheme="minorHAnsi" w:hAnsiTheme="minorHAnsi"/>
          <w:sz w:val="20"/>
        </w:rPr>
        <w:t>Devanesan</w:t>
      </w:r>
      <w:proofErr w:type="spellEnd"/>
      <w:r w:rsidRPr="001969FF">
        <w:rPr>
          <w:rFonts w:asciiTheme="minorHAnsi" w:hAnsiTheme="minorHAnsi"/>
          <w:sz w:val="20"/>
        </w:rPr>
        <w:t xml:space="preserve"> </w:t>
      </w:r>
      <w:proofErr w:type="spellStart"/>
      <w:r w:rsidRPr="001969FF">
        <w:rPr>
          <w:rFonts w:asciiTheme="minorHAnsi" w:hAnsiTheme="minorHAnsi"/>
          <w:sz w:val="20"/>
        </w:rPr>
        <w:t>Evanson</w:t>
      </w:r>
      <w:proofErr w:type="spellEnd"/>
      <w:r w:rsidRPr="001969FF">
        <w:rPr>
          <w:rFonts w:asciiTheme="minorHAnsi" w:hAnsiTheme="minorHAnsi"/>
          <w:sz w:val="20"/>
        </w:rPr>
        <w:t>, who holds a LLB (</w:t>
      </w:r>
      <w:proofErr w:type="spellStart"/>
      <w:r w:rsidRPr="001969FF">
        <w:rPr>
          <w:rFonts w:asciiTheme="minorHAnsi" w:hAnsiTheme="minorHAnsi"/>
          <w:sz w:val="20"/>
        </w:rPr>
        <w:t>Hons</w:t>
      </w:r>
      <w:proofErr w:type="spellEnd"/>
      <w:r w:rsidRPr="001969FF">
        <w:rPr>
          <w:rFonts w:asciiTheme="minorHAnsi" w:hAnsiTheme="minorHAnsi"/>
          <w:sz w:val="20"/>
        </w:rPr>
        <w:t>), is a fellow member of the Association of Chartered Certified</w:t>
      </w:r>
      <w:r>
        <w:rPr>
          <w:rFonts w:asciiTheme="minorHAnsi" w:hAnsiTheme="minorHAnsi"/>
          <w:sz w:val="20"/>
        </w:rPr>
        <w:t xml:space="preserve"> </w:t>
      </w:r>
      <w:r w:rsidRPr="001969FF">
        <w:rPr>
          <w:rFonts w:asciiTheme="minorHAnsi" w:hAnsiTheme="minorHAnsi"/>
          <w:sz w:val="20"/>
        </w:rPr>
        <w:t>Accountants (FCCA) and past president of the Malaysian Advisory Committee of ACCA. He is also a member of the MIA</w:t>
      </w:r>
      <w:r>
        <w:rPr>
          <w:rFonts w:asciiTheme="minorHAnsi" w:hAnsiTheme="minorHAnsi"/>
          <w:sz w:val="20"/>
        </w:rPr>
        <w:t xml:space="preserve"> </w:t>
      </w:r>
      <w:r w:rsidRPr="001969FF">
        <w:rPr>
          <w:rFonts w:asciiTheme="minorHAnsi" w:hAnsiTheme="minorHAnsi"/>
          <w:sz w:val="20"/>
        </w:rPr>
        <w:t>and a past council member of MIA. He is a Governor with IIA Malaysia and a past president.</w:t>
      </w:r>
      <w:r>
        <w:rPr>
          <w:rFonts w:asciiTheme="minorHAnsi" w:hAnsiTheme="minorHAnsi"/>
          <w:sz w:val="20"/>
        </w:rPr>
        <w:t xml:space="preserve"> </w:t>
      </w:r>
      <w:r w:rsidRPr="001969FF">
        <w:rPr>
          <w:rFonts w:asciiTheme="minorHAnsi" w:hAnsiTheme="minorHAnsi"/>
          <w:sz w:val="20"/>
        </w:rP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r>
        <w:rPr>
          <w:rFonts w:asciiTheme="minorHAnsi" w:hAnsiTheme="minorHAnsi"/>
          <w:sz w:val="20"/>
        </w:rPr>
        <w:t xml:space="preserve"> </w:t>
      </w:r>
      <w:proofErr w:type="spellStart"/>
      <w:r w:rsidRPr="001969FF">
        <w:rPr>
          <w:rFonts w:asciiTheme="minorHAnsi" w:hAnsiTheme="minorHAnsi"/>
          <w:sz w:val="20"/>
        </w:rPr>
        <w:t>Devanesan</w:t>
      </w:r>
      <w:proofErr w:type="spellEnd"/>
      <w:r w:rsidRPr="001969FF">
        <w:rPr>
          <w:rFonts w:asciiTheme="minorHAnsi" w:hAnsiTheme="minorHAnsi"/>
          <w:sz w:val="20"/>
        </w:rPr>
        <w:t xml:space="preserve"> is currently a free-lance trainer in the areas of Risk, Controls, Governance, Internal Audit and Listing Requirements.</w:t>
      </w: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Pr>
        <w:sectPr w:rsidR="00D90843" w:rsidSect="00800675">
          <w:type w:val="continuous"/>
          <w:pgSz w:w="11906" w:h="16838" w:code="9"/>
          <w:pgMar w:top="806" w:right="922" w:bottom="900" w:left="1800" w:header="0" w:footer="0" w:gutter="0"/>
          <w:cols w:num="2"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2C5765" w:rsidP="000D57B6">
      <w:pPr>
        <w:jc w:val="center"/>
        <w:rPr>
          <w:rFonts w:asciiTheme="minorHAnsi" w:hAnsiTheme="minorHAnsi"/>
          <w:sz w:val="24"/>
          <w:szCs w:val="24"/>
        </w:rPr>
      </w:pPr>
      <w:r w:rsidRPr="002C5765">
        <w:rPr>
          <w:rFonts w:asciiTheme="majorHAnsi" w:eastAsiaTheme="majorEastAsia" w:hAnsiTheme="majorHAnsi" w:cstheme="majorBidi"/>
          <w:b/>
          <w:bCs/>
          <w:color w:val="365F91" w:themeColor="accent1" w:themeShade="BF"/>
          <w:sz w:val="36"/>
          <w:szCs w:val="36"/>
        </w:rPr>
        <w:t>Utilising Auditors to Mitigate Board Risk</w:t>
      </w:r>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324A08">
      <w:pPr>
        <w:rPr>
          <w:rFonts w:asciiTheme="minorHAnsi" w:hAnsiTheme="minorHAnsi"/>
          <w:sz w:val="24"/>
          <w:szCs w:val="24"/>
        </w:rPr>
      </w:pPr>
      <w:r w:rsidRPr="00324A08">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1559"/>
        <w:gridCol w:w="284"/>
        <w:gridCol w:w="1559"/>
        <w:gridCol w:w="284"/>
        <w:gridCol w:w="1559"/>
        <w:gridCol w:w="283"/>
        <w:gridCol w:w="1559"/>
      </w:tblGrid>
      <w:tr w:rsidR="00FB169B" w:rsidRPr="00E76169" w:rsidTr="00FB169B">
        <w:tc>
          <w:tcPr>
            <w:tcW w:w="250" w:type="dxa"/>
          </w:tcPr>
          <w:p w:rsidR="00FB169B" w:rsidRPr="00E76169" w:rsidRDefault="00324A08"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1559" w:type="dxa"/>
          </w:tcPr>
          <w:p w:rsidR="00FB169B" w:rsidRPr="00E76169" w:rsidRDefault="00542689" w:rsidP="00C97D66">
            <w:pPr>
              <w:rPr>
                <w:rFonts w:asciiTheme="minorHAnsi" w:hAnsiTheme="minorHAnsi"/>
                <w:sz w:val="24"/>
                <w:szCs w:val="24"/>
                <w:lang w:val="en-US"/>
              </w:rPr>
            </w:pPr>
            <w:r>
              <w:rPr>
                <w:rFonts w:asciiTheme="minorHAnsi" w:hAnsiTheme="minorHAnsi"/>
                <w:sz w:val="24"/>
                <w:szCs w:val="24"/>
                <w:lang w:val="en-US"/>
              </w:rPr>
              <w:t>2</w:t>
            </w:r>
            <w:r w:rsidR="001969FF">
              <w:rPr>
                <w:rFonts w:asciiTheme="minorHAnsi" w:hAnsiTheme="minorHAnsi"/>
                <w:sz w:val="24"/>
                <w:szCs w:val="24"/>
                <w:lang w:val="en-US"/>
              </w:rPr>
              <w:t>7 Nov</w:t>
            </w:r>
          </w:p>
        </w:tc>
        <w:tc>
          <w:tcPr>
            <w:tcW w:w="284" w:type="dxa"/>
          </w:tcPr>
          <w:p w:rsidR="00FB169B" w:rsidRPr="00E76169" w:rsidRDefault="00324A08" w:rsidP="00D102CC">
            <w:pPr>
              <w:rPr>
                <w:rFonts w:asciiTheme="minorHAnsi" w:hAnsiTheme="minorHAnsi"/>
                <w:sz w:val="24"/>
                <w:szCs w:val="24"/>
                <w:lang w:val="en-US"/>
              </w:rPr>
            </w:pPr>
            <w:r>
              <w:rPr>
                <w:rFonts w:asciiTheme="minorHAnsi" w:hAnsiTheme="minorHAnsi"/>
                <w:noProof/>
                <w:sz w:val="24"/>
                <w:szCs w:val="24"/>
                <w:lang w:val="en-US"/>
              </w:rPr>
              <w:pict>
                <v:rect id="_x0000_s1124" style="position:absolute;margin-left:-5.35pt;margin-top:0;width:10.65pt;height:10.05pt;z-index:251740160;mso-position-horizontal-relative:text;mso-position-vertical:bottom;mso-position-vertical-relative:margin">
                  <v:shadow on="t" offset=",3pt" offset2=",2pt"/>
                  <w10:wrap anchory="margin"/>
                </v:rect>
              </w:pict>
            </w:r>
          </w:p>
        </w:tc>
        <w:tc>
          <w:tcPr>
            <w:tcW w:w="1559" w:type="dxa"/>
          </w:tcPr>
          <w:p w:rsidR="00FB169B" w:rsidRPr="00E76169" w:rsidRDefault="00542689" w:rsidP="001969FF">
            <w:pPr>
              <w:rPr>
                <w:rFonts w:asciiTheme="minorHAnsi" w:hAnsiTheme="minorHAnsi"/>
                <w:sz w:val="24"/>
                <w:szCs w:val="24"/>
                <w:lang w:val="en-US"/>
              </w:rPr>
            </w:pPr>
            <w:r>
              <w:rPr>
                <w:rFonts w:asciiTheme="minorHAnsi" w:hAnsiTheme="minorHAnsi"/>
                <w:sz w:val="24"/>
                <w:szCs w:val="24"/>
                <w:lang w:val="en-US"/>
              </w:rPr>
              <w:t>09</w:t>
            </w:r>
            <w:r w:rsidR="00FB169B">
              <w:rPr>
                <w:rFonts w:asciiTheme="minorHAnsi" w:hAnsiTheme="minorHAnsi"/>
                <w:sz w:val="24"/>
                <w:szCs w:val="24"/>
                <w:lang w:val="en-US"/>
              </w:rPr>
              <w:t xml:space="preserve"> </w:t>
            </w:r>
            <w:r w:rsidR="001969FF">
              <w:rPr>
                <w:rFonts w:asciiTheme="minorHAnsi" w:hAnsiTheme="minorHAnsi"/>
                <w:sz w:val="24"/>
                <w:szCs w:val="24"/>
                <w:lang w:val="en-US"/>
              </w:rPr>
              <w:t>Dec 2015</w:t>
            </w: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324A08" w:rsidP="00E76169">
      <w:pPr>
        <w:rPr>
          <w:rFonts w:asciiTheme="minorHAnsi" w:hAnsiTheme="minorHAnsi"/>
          <w:sz w:val="24"/>
          <w:szCs w:val="24"/>
        </w:rPr>
      </w:pPr>
      <w:r w:rsidRPr="00324A08">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1969FF" w:rsidRDefault="00324A08"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1969FF" w:rsidRPr="001969FF">
        <w:rPr>
          <w:rFonts w:asciiTheme="minorHAnsi" w:hAnsiTheme="minorHAnsi"/>
          <w:noProof/>
          <w:sz w:val="24"/>
          <w:szCs w:val="24"/>
          <w:lang w:val="en-US"/>
        </w:rPr>
        <w:t>mailmarsha</w:t>
      </w:r>
      <w:r w:rsidR="00387325">
        <w:rPr>
          <w:rFonts w:asciiTheme="minorHAnsi" w:hAnsiTheme="minorHAnsi"/>
          <w:noProof/>
          <w:sz w:val="24"/>
          <w:szCs w:val="24"/>
          <w:lang w:val="en-US"/>
        </w:rPr>
        <w:t>l</w:t>
      </w:r>
      <w:r w:rsidRPr="00E94F5F">
        <w:rPr>
          <w:rFonts w:asciiTheme="minorHAnsi" w:hAnsiTheme="minorHAnsi"/>
          <w:noProof/>
          <w:sz w:val="24"/>
          <w:szCs w:val="24"/>
          <w:lang w:val="en-US"/>
        </w:rPr>
        <w:t>@bursatra.com.my</w:t>
      </w:r>
    </w:p>
    <w:p w:rsidR="00E76169" w:rsidRPr="00E76169" w:rsidRDefault="00E76169" w:rsidP="00E76169">
      <w:pPr>
        <w:jc w:val="center"/>
        <w:rPr>
          <w:rFonts w:asciiTheme="minorHAnsi" w:hAnsiTheme="minorHAnsi"/>
          <w:sz w:val="24"/>
          <w:szCs w:val="24"/>
        </w:rPr>
      </w:pPr>
    </w:p>
    <w:sectPr w:rsidR="00E76169"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C1B" w:rsidRDefault="00901C1B">
      <w:r>
        <w:separator/>
      </w:r>
    </w:p>
  </w:endnote>
  <w:endnote w:type="continuationSeparator" w:id="0">
    <w:p w:rsidR="00901C1B" w:rsidRDefault="00901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C1B" w:rsidRDefault="00901C1B">
      <w:r>
        <w:separator/>
      </w:r>
    </w:p>
  </w:footnote>
  <w:footnote w:type="continuationSeparator" w:id="0">
    <w:p w:rsidR="00901C1B" w:rsidRDefault="00901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24A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324A08" w:rsidP="00C24690">
    <w:pPr>
      <w:pStyle w:val="Heading5"/>
      <w:ind w:left="-810" w:hanging="90"/>
      <w:rPr>
        <w:rFonts w:ascii="Century Gothic" w:hAnsi="Century Gothic"/>
        <w:i w:val="0"/>
        <w:iCs/>
        <w:sz w:val="24"/>
        <w:szCs w:val="24"/>
      </w:rPr>
    </w:pPr>
    <w:r w:rsidRPr="00324A0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24A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2DFE16C9"/>
    <w:multiLevelType w:val="hybridMultilevel"/>
    <w:tmpl w:val="5E1E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9"/>
  </w:num>
  <w:num w:numId="4">
    <w:abstractNumId w:val="7"/>
  </w:num>
  <w:num w:numId="5">
    <w:abstractNumId w:val="1"/>
  </w:num>
  <w:num w:numId="6">
    <w:abstractNumId w:val="8"/>
  </w:num>
  <w:num w:numId="7">
    <w:abstractNumId w:val="6"/>
  </w:num>
  <w:num w:numId="8">
    <w:abstractNumId w:val="3"/>
  </w:num>
  <w:num w:numId="9">
    <w:abstractNumId w:val="2"/>
  </w:num>
  <w:num w:numId="10">
    <w:abstractNumId w:val="0"/>
  </w:num>
  <w:num w:numId="11">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1506">
      <o:colormru v:ext="edit" colors="#eaeaea,aqua,#ffb9b9"/>
      <o:colormenu v:ext="edit" fillcolor="#ffb9b9" stroke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5765"/>
    <w:rsid w:val="002D152D"/>
    <w:rsid w:val="002D40CE"/>
    <w:rsid w:val="002D76A9"/>
    <w:rsid w:val="002E6DF0"/>
    <w:rsid w:val="002E6DF1"/>
    <w:rsid w:val="002F32AA"/>
    <w:rsid w:val="002F629E"/>
    <w:rsid w:val="002F679A"/>
    <w:rsid w:val="003215CC"/>
    <w:rsid w:val="00323457"/>
    <w:rsid w:val="00324A08"/>
    <w:rsid w:val="003300F6"/>
    <w:rsid w:val="003324DF"/>
    <w:rsid w:val="00336392"/>
    <w:rsid w:val="0034120C"/>
    <w:rsid w:val="0034337E"/>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2689"/>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1C1B"/>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31170-2F97-47B1-852B-A1DBE2CF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3056</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Azlan</cp:lastModifiedBy>
  <cp:revision>4</cp:revision>
  <cp:lastPrinted>2015-07-06T11:13:00Z</cp:lastPrinted>
  <dcterms:created xsi:type="dcterms:W3CDTF">2015-10-21T17:06:00Z</dcterms:created>
  <dcterms:modified xsi:type="dcterms:W3CDTF">2015-10-21T17:10:00Z</dcterms:modified>
  <cp:category>CGBP</cp:category>
</cp:coreProperties>
</file>